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4237F" w14:textId="77777777" w:rsidR="00AA1530" w:rsidRPr="00AA1530" w:rsidRDefault="00AA1530" w:rsidP="00AA1530">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AA1530">
        <w:rPr>
          <w:rFonts w:ascii="Lato" w:eastAsia="Times New Roman" w:hAnsi="Lato" w:cs="Times New Roman"/>
          <w:color w:val="CC3300"/>
          <w:kern w:val="36"/>
          <w:sz w:val="36"/>
          <w:szCs w:val="36"/>
          <w:lang w:eastAsia="fr-BE"/>
          <w14:ligatures w14:val="none"/>
        </w:rPr>
        <w:t>Les fonderies de cuivre chinoises réduiront leur capacité en 2025</w:t>
      </w:r>
    </w:p>
    <w:p w14:paraId="3925AEAB" w14:textId="77777777" w:rsidR="00AA1530" w:rsidRDefault="00AA1530" w:rsidP="00AA1530">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65A3491A" w14:textId="2F0DA2A7" w:rsidR="00AA1530" w:rsidRPr="00AA1530" w:rsidRDefault="00AA1530" w:rsidP="00AA153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1530">
        <w:rPr>
          <w:rFonts w:ascii="Lato" w:eastAsia="Times New Roman" w:hAnsi="Lato" w:cs="Times New Roman"/>
          <w:b/>
          <w:bCs/>
          <w:color w:val="000000"/>
          <w:kern w:val="0"/>
          <w:sz w:val="23"/>
          <w:szCs w:val="23"/>
          <w:lang w:eastAsia="fr-BE"/>
          <w14:ligatures w14:val="none"/>
        </w:rPr>
        <w:t>Les fonderies chinoises vont davantage réduire leur production, fermer des capacités ou procéder à des opérations de maintenance en réponse à la pénurie de matières premières en 2025, ont indiqué des participants à la conférence.</w:t>
      </w:r>
    </w:p>
    <w:p w14:paraId="44385B23" w14:textId="77777777" w:rsidR="00AA1530" w:rsidRPr="00AA1530" w:rsidRDefault="00AA1530" w:rsidP="00AA153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1530">
        <w:rPr>
          <w:rFonts w:ascii="Lato" w:eastAsia="Times New Roman" w:hAnsi="Lato" w:cs="Times New Roman"/>
          <w:color w:val="000000"/>
          <w:kern w:val="0"/>
          <w:sz w:val="23"/>
          <w:szCs w:val="23"/>
          <w:lang w:eastAsia="fr-BE"/>
          <w14:ligatures w14:val="none"/>
        </w:rPr>
        <w:t> </w:t>
      </w:r>
    </w:p>
    <w:p w14:paraId="410D2EBF" w14:textId="77777777" w:rsidR="00AA1530" w:rsidRPr="00AA1530" w:rsidRDefault="00AA1530" w:rsidP="00AA153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1530">
        <w:rPr>
          <w:rFonts w:ascii="Lato" w:eastAsia="Times New Roman" w:hAnsi="Lato" w:cs="Times New Roman"/>
          <w:color w:val="000000"/>
          <w:kern w:val="0"/>
          <w:sz w:val="23"/>
          <w:szCs w:val="23"/>
          <w:lang w:eastAsia="fr-BE"/>
          <w14:ligatures w14:val="none"/>
        </w:rPr>
        <w:t>Les perturbations de production dans les mines et l’accroissement rapide des capacités ont conduit à une vive concurrence pour sécuriser les approvisionnements en concentrés et précipité les frais de traitement et d’affinage de ces derniers à des niveaux historiquement bas. Le déficit d’offre en 2025 est anticipé à plus de 1 million de tonnes, a indiqué Zuo Haoen, analyste pour </w:t>
      </w:r>
      <w:r w:rsidRPr="00AA1530">
        <w:rPr>
          <w:rFonts w:ascii="Lato" w:eastAsia="Times New Roman" w:hAnsi="Lato" w:cs="Times New Roman"/>
          <w:b/>
          <w:bCs/>
          <w:color w:val="000000"/>
          <w:kern w:val="0"/>
          <w:sz w:val="23"/>
          <w:szCs w:val="23"/>
          <w:lang w:eastAsia="fr-BE"/>
          <w14:ligatures w14:val="none"/>
        </w:rPr>
        <w:t>Minmetals Nonferrous Metals</w:t>
      </w:r>
      <w:r w:rsidRPr="00AA1530">
        <w:rPr>
          <w:rFonts w:ascii="Lato" w:eastAsia="Times New Roman" w:hAnsi="Lato" w:cs="Times New Roman"/>
          <w:color w:val="000000"/>
          <w:kern w:val="0"/>
          <w:sz w:val="23"/>
          <w:szCs w:val="23"/>
          <w:lang w:eastAsia="fr-BE"/>
          <w14:ligatures w14:val="none"/>
        </w:rPr>
        <w:t>. Ce dernier indique que les fonderies chinoises vont probablement réduire leur production, fermer des capacités, prolonger les périodes de maintenance, retarder la construction de nouvelles mines ou abaisser les taux d’utilisation des capacités. La production de cuivre affiné va croître de plus de 1 million de tonnes, tandis que les taux d’utilisation des capacités vont probablement être ramenés à 75% ou en dessous, prévoit l’analyste. En début d’année, ce dernier avait anticipé un déficit de 600.000 tonnes de concentrés en 2024, mais a depuis révisé sa prévision à la baisse, à 300.000 tonnes. L’industrie minière doit injecter quelque 120 milliards de dollars d’ici à 2030 pour rattraper la demande, selon Franscisco Acuna, consultant pour CRU. Les projets existent, mais ils n’ont pas progressé, précise-t-il, citant un contexte multifactoriel dont des difficultés techniques et géopolitiques, de licence d’exploitation et « </w:t>
      </w:r>
      <w:r w:rsidRPr="00AA1530">
        <w:rPr>
          <w:rFonts w:ascii="Lato" w:eastAsia="Times New Roman" w:hAnsi="Lato" w:cs="Times New Roman"/>
          <w:i/>
          <w:iCs/>
          <w:color w:val="000000"/>
          <w:kern w:val="0"/>
          <w:sz w:val="23"/>
          <w:szCs w:val="23"/>
          <w:lang w:eastAsia="fr-BE"/>
          <w14:ligatures w14:val="none"/>
        </w:rPr>
        <w:t>du manque de décision pour porter les projets</w:t>
      </w:r>
      <w:r w:rsidRPr="00AA1530">
        <w:rPr>
          <w:rFonts w:ascii="Lato" w:eastAsia="Times New Roman" w:hAnsi="Lato" w:cs="Times New Roman"/>
          <w:color w:val="000000"/>
          <w:kern w:val="0"/>
          <w:sz w:val="23"/>
          <w:szCs w:val="23"/>
          <w:lang w:eastAsia="fr-BE"/>
          <w14:ligatures w14:val="none"/>
        </w:rPr>
        <w:t>. »</w:t>
      </w:r>
    </w:p>
    <w:p w14:paraId="31C737D8" w14:textId="77777777" w:rsidR="00AA1530" w:rsidRPr="00AA1530" w:rsidRDefault="00AA1530" w:rsidP="00AA153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1530">
        <w:rPr>
          <w:rFonts w:ascii="Lato" w:eastAsia="Times New Roman" w:hAnsi="Lato" w:cs="Times New Roman"/>
          <w:color w:val="000000"/>
          <w:kern w:val="0"/>
          <w:sz w:val="23"/>
          <w:szCs w:val="23"/>
          <w:lang w:eastAsia="fr-BE"/>
          <w14:ligatures w14:val="none"/>
        </w:rPr>
        <w:t> </w:t>
      </w:r>
    </w:p>
    <w:p w14:paraId="42B626DF" w14:textId="77777777" w:rsidR="00AA1530" w:rsidRPr="00AA1530" w:rsidRDefault="00AA1530" w:rsidP="00AA153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1530">
        <w:rPr>
          <w:rFonts w:ascii="Lato" w:eastAsia="Times New Roman" w:hAnsi="Lato" w:cs="Times New Roman"/>
          <w:b/>
          <w:bCs/>
          <w:color w:val="A52A2A"/>
          <w:kern w:val="0"/>
          <w:sz w:val="23"/>
          <w:szCs w:val="23"/>
          <w:lang w:eastAsia="fr-BE"/>
          <w14:ligatures w14:val="none"/>
        </w:rPr>
        <w:t>Des besoins croissants en cuivre</w:t>
      </w:r>
    </w:p>
    <w:p w14:paraId="60FE04D6" w14:textId="77777777" w:rsidR="00AA1530" w:rsidRPr="00AA1530" w:rsidRDefault="00AA1530" w:rsidP="00AA153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1530">
        <w:rPr>
          <w:rFonts w:ascii="Lato" w:eastAsia="Times New Roman" w:hAnsi="Lato" w:cs="Times New Roman"/>
          <w:color w:val="000000"/>
          <w:kern w:val="0"/>
          <w:sz w:val="23"/>
          <w:szCs w:val="23"/>
          <w:lang w:eastAsia="fr-BE"/>
          <w14:ligatures w14:val="none"/>
        </w:rPr>
        <w:t>Le cuivre sera l’un des grands bénéficiaires de la transition énergétique. D’ici à 2030, la demande du secteur des véhicules électriques (VE) représentera 2,4 millions de tonnes (Mt) de plus qu’en 2020, a indiqué Eric Heimlich, qui dirige le département Cuivre et zinc de CRU. La demande du secteur des énergies renouvelables requerra 2,4 Mt de cuivre en plus en 2030 qu’en 2020. Pour le secteur électrique, ce sera 2,3 Mt de plus. En revanche, le secteur immobilier chinois consommera 400.000 tonnes de cuivre en moins. En 2025, la consommation de cuivre de la Chine devrait s’élever à 16,69 Mt, soit un volume en progression de 2% sur un an, précise Motoki Makita, dg de Mitsui &amp; Co. La demande provenant des centres de données a représenté 467.000 tonnes en 2023, mais celle-ci pourrait croître un rythme rapide avec l’essor de l’IA et les besoins de sauvegarde. A long terme, la demande issue du secteur de la robotique pourrait nécessiter 2 Mt de cuivre supplémentaires, a, de son côté, souligné un directeur de recherche de Minmetals Securities.</w:t>
      </w:r>
    </w:p>
    <w:p w14:paraId="0C0C7F0E" w14:textId="77777777" w:rsidR="00AA1530" w:rsidRPr="00AA1530" w:rsidRDefault="00AA1530" w:rsidP="00AA153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1530">
        <w:rPr>
          <w:rFonts w:ascii="Lato" w:eastAsia="Times New Roman" w:hAnsi="Lato" w:cs="Times New Roman"/>
          <w:color w:val="000000"/>
          <w:kern w:val="0"/>
          <w:sz w:val="23"/>
          <w:szCs w:val="23"/>
          <w:lang w:eastAsia="fr-BE"/>
          <w14:ligatures w14:val="none"/>
        </w:rPr>
        <w:t> </w:t>
      </w:r>
    </w:p>
    <w:p w14:paraId="5672F27C" w14:textId="77777777" w:rsidR="00AA1530" w:rsidRPr="00AA1530" w:rsidRDefault="00AA1530" w:rsidP="00AA153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1530">
        <w:rPr>
          <w:rFonts w:ascii="Lato" w:eastAsia="Times New Roman" w:hAnsi="Lato" w:cs="Times New Roman"/>
          <w:b/>
          <w:bCs/>
          <w:color w:val="A52A2A"/>
          <w:kern w:val="0"/>
          <w:sz w:val="23"/>
          <w:szCs w:val="23"/>
          <w:lang w:eastAsia="fr-BE"/>
          <w14:ligatures w14:val="none"/>
        </w:rPr>
        <w:t>Les TC/RCs anticipés à un plus bas de 15 ans en 2025</w:t>
      </w:r>
    </w:p>
    <w:p w14:paraId="12CD53F2" w14:textId="77777777" w:rsidR="00AA1530" w:rsidRPr="00AA1530" w:rsidRDefault="00AA1530" w:rsidP="00AA153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1530">
        <w:rPr>
          <w:rFonts w:ascii="Lato" w:eastAsia="Times New Roman" w:hAnsi="Lato" w:cs="Times New Roman"/>
          <w:color w:val="000000"/>
          <w:kern w:val="0"/>
          <w:sz w:val="23"/>
          <w:szCs w:val="23"/>
          <w:lang w:eastAsia="fr-BE"/>
          <w14:ligatures w14:val="none"/>
        </w:rPr>
        <w:t xml:space="preserve">En raison des vives tensions sur les disponibilités en concentrés de cuivre, les experts prévoient une chute des frais de traitement et d’affinage de ces derniers à un plus bas de 15 ans en 2025. Un sondage Reuters avait montré que les analystes anticipaient des frais allant de moins de 20 $ à 50 $/t au plus fort - loin derrière les 80 $/t pratiqués cette année. Les analystes de Shanghai Metals Markets tablent sur un déficit de concentrés de 822.000 </w:t>
      </w:r>
      <w:r w:rsidRPr="00AA1530">
        <w:rPr>
          <w:rFonts w:ascii="Lato" w:eastAsia="Times New Roman" w:hAnsi="Lato" w:cs="Times New Roman"/>
          <w:color w:val="000000"/>
          <w:kern w:val="0"/>
          <w:sz w:val="23"/>
          <w:szCs w:val="23"/>
          <w:lang w:eastAsia="fr-BE"/>
          <w14:ligatures w14:val="none"/>
        </w:rPr>
        <w:lastRenderedPageBreak/>
        <w:t>t en 2025, contre 221.000 t cette année. Les capacités de fonderie chinoises, à elles seules, atteindront 16 Mt en 2025 et approcheront les 17 Mt en 2027, contre 14,26 Mt en 2023.</w:t>
      </w:r>
    </w:p>
    <w:p w14:paraId="657E4333"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30"/>
    <w:rsid w:val="00287462"/>
    <w:rsid w:val="00AA1530"/>
    <w:rsid w:val="00CB54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5452"/>
  <w15:chartTrackingRefBased/>
  <w15:docId w15:val="{0A2E479C-3F90-41FB-80DE-4DEA84DA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A1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A1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A153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A153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A153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A153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153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153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153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153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A153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A153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A153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A153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A15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15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15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1530"/>
    <w:rPr>
      <w:rFonts w:eastAsiaTheme="majorEastAsia" w:cstheme="majorBidi"/>
      <w:color w:val="272727" w:themeColor="text1" w:themeTint="D8"/>
    </w:rPr>
  </w:style>
  <w:style w:type="paragraph" w:styleId="Titre">
    <w:name w:val="Title"/>
    <w:basedOn w:val="Normal"/>
    <w:next w:val="Normal"/>
    <w:link w:val="TitreCar"/>
    <w:uiPriority w:val="10"/>
    <w:qFormat/>
    <w:rsid w:val="00AA1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15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153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15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1530"/>
    <w:pPr>
      <w:spacing w:before="160"/>
      <w:jc w:val="center"/>
    </w:pPr>
    <w:rPr>
      <w:i/>
      <w:iCs/>
      <w:color w:val="404040" w:themeColor="text1" w:themeTint="BF"/>
    </w:rPr>
  </w:style>
  <w:style w:type="character" w:customStyle="1" w:styleId="CitationCar">
    <w:name w:val="Citation Car"/>
    <w:basedOn w:val="Policepardfaut"/>
    <w:link w:val="Citation"/>
    <w:uiPriority w:val="29"/>
    <w:rsid w:val="00AA1530"/>
    <w:rPr>
      <w:i/>
      <w:iCs/>
      <w:color w:val="404040" w:themeColor="text1" w:themeTint="BF"/>
    </w:rPr>
  </w:style>
  <w:style w:type="paragraph" w:styleId="Paragraphedeliste">
    <w:name w:val="List Paragraph"/>
    <w:basedOn w:val="Normal"/>
    <w:uiPriority w:val="34"/>
    <w:qFormat/>
    <w:rsid w:val="00AA1530"/>
    <w:pPr>
      <w:ind w:left="720"/>
      <w:contextualSpacing/>
    </w:pPr>
  </w:style>
  <w:style w:type="character" w:styleId="Accentuationintense">
    <w:name w:val="Intense Emphasis"/>
    <w:basedOn w:val="Policepardfaut"/>
    <w:uiPriority w:val="21"/>
    <w:qFormat/>
    <w:rsid w:val="00AA1530"/>
    <w:rPr>
      <w:i/>
      <w:iCs/>
      <w:color w:val="0F4761" w:themeColor="accent1" w:themeShade="BF"/>
    </w:rPr>
  </w:style>
  <w:style w:type="paragraph" w:styleId="Citationintense">
    <w:name w:val="Intense Quote"/>
    <w:basedOn w:val="Normal"/>
    <w:next w:val="Normal"/>
    <w:link w:val="CitationintenseCar"/>
    <w:uiPriority w:val="30"/>
    <w:qFormat/>
    <w:rsid w:val="00AA1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A1530"/>
    <w:rPr>
      <w:i/>
      <w:iCs/>
      <w:color w:val="0F4761" w:themeColor="accent1" w:themeShade="BF"/>
    </w:rPr>
  </w:style>
  <w:style w:type="character" w:styleId="Rfrenceintense">
    <w:name w:val="Intense Reference"/>
    <w:basedOn w:val="Policepardfaut"/>
    <w:uiPriority w:val="32"/>
    <w:qFormat/>
    <w:rsid w:val="00AA15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83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2935</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2024-11-25T08:28:00Z</dcterms:created>
  <dcterms:modified xsi:type="dcterms:W3CDTF">2024-11-25T08:28:00Z</dcterms:modified>
</cp:coreProperties>
</file>